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655DE" w14:textId="11E20422" w:rsidR="00B14D08" w:rsidRPr="00230662" w:rsidRDefault="00B14D08" w:rsidP="00B14D08">
      <w:pPr>
        <w:pStyle w:val="font8"/>
        <w:spacing w:line="324" w:lineRule="atLeast"/>
        <w:rPr>
          <w:rFonts w:ascii="Arial" w:hAnsi="Arial" w:cs="Arial"/>
          <w:sz w:val="28"/>
          <w:szCs w:val="28"/>
        </w:rPr>
      </w:pPr>
      <w:r w:rsidRPr="00230662">
        <w:rPr>
          <w:rStyle w:val="color15"/>
          <w:rFonts w:ascii="Arial" w:hAnsi="Arial" w:cs="Arial"/>
          <w:spacing w:val="2"/>
          <w:sz w:val="28"/>
          <w:szCs w:val="28"/>
          <w:u w:val="single"/>
        </w:rPr>
        <w:t xml:space="preserve">Conflict of Interest Disclosure - </w:t>
      </w:r>
      <w:r w:rsidRPr="00230662">
        <w:rPr>
          <w:rStyle w:val="color15"/>
          <w:rFonts w:ascii="Arial" w:hAnsi="Arial" w:cs="Arial"/>
          <w:spacing w:val="2"/>
          <w:sz w:val="28"/>
          <w:szCs w:val="28"/>
          <w:u w:val="single"/>
        </w:rPr>
        <w:t>JPH Lawyers</w:t>
      </w:r>
      <w:r w:rsidRPr="00230662">
        <w:rPr>
          <w:rStyle w:val="color15"/>
          <w:rFonts w:ascii="Arial" w:hAnsi="Arial" w:cs="Arial"/>
          <w:spacing w:val="2"/>
          <w:sz w:val="28"/>
          <w:szCs w:val="28"/>
          <w:u w:val="single"/>
        </w:rPr>
        <w:t xml:space="preserve"> Pty Ltd</w:t>
      </w:r>
    </w:p>
    <w:p w14:paraId="5EE08AF4" w14:textId="4A723FF0" w:rsidR="00B14D08" w:rsidRPr="00230662" w:rsidRDefault="00230662" w:rsidP="00B14D08">
      <w:pPr>
        <w:pStyle w:val="font9"/>
        <w:spacing w:line="408" w:lineRule="atLeast"/>
        <w:rPr>
          <w:rFonts w:ascii="Arial" w:hAnsi="Arial" w:cs="Arial"/>
          <w:sz w:val="28"/>
          <w:szCs w:val="28"/>
        </w:rPr>
      </w:pPr>
      <w:r w:rsidRPr="00230662">
        <w:rPr>
          <w:rFonts w:ascii="Arial" w:hAnsi="Arial" w:cs="Arial"/>
          <w:b/>
          <w:bCs/>
          <w:sz w:val="28"/>
          <w:szCs w:val="28"/>
        </w:rPr>
        <w:t xml:space="preserve">JPH </w:t>
      </w:r>
      <w:r w:rsidRPr="00230662">
        <w:rPr>
          <w:rFonts w:ascii="Arial" w:hAnsi="Arial" w:cs="Arial"/>
          <w:b/>
          <w:bCs/>
          <w:sz w:val="28"/>
          <w:szCs w:val="28"/>
        </w:rPr>
        <w:t>Lawyers</w:t>
      </w:r>
      <w:r w:rsidRPr="00230662">
        <w:rPr>
          <w:rFonts w:ascii="Arial" w:hAnsi="Arial" w:cs="Arial"/>
          <w:b/>
          <w:bCs/>
          <w:sz w:val="28"/>
          <w:szCs w:val="28"/>
        </w:rPr>
        <w:t xml:space="preserve"> Client engagement terms and conditions</w:t>
      </w:r>
      <w:r w:rsidR="00B14D08" w:rsidRPr="00230662">
        <w:rPr>
          <w:rFonts w:ascii="Arial" w:hAnsi="Arial" w:cs="Arial"/>
          <w:sz w:val="28"/>
          <w:szCs w:val="28"/>
        </w:rPr>
        <w:br/>
      </w:r>
      <w:r w:rsidR="00B14D08" w:rsidRPr="00230662">
        <w:rPr>
          <w:rStyle w:val="color14"/>
          <w:rFonts w:ascii="Arial" w:hAnsi="Arial" w:cs="Arial"/>
          <w:sz w:val="28"/>
          <w:szCs w:val="28"/>
        </w:rPr>
        <w:t>JPH Lawyers</w:t>
      </w:r>
      <w:r w:rsidR="00B14D08" w:rsidRPr="00230662">
        <w:rPr>
          <w:rStyle w:val="color14"/>
          <w:rFonts w:ascii="Arial" w:hAnsi="Arial" w:cs="Arial"/>
          <w:sz w:val="28"/>
          <w:szCs w:val="28"/>
        </w:rPr>
        <w:t xml:space="preserve"> Pty Lt</w:t>
      </w:r>
      <w:r w:rsidR="00B14D08" w:rsidRPr="00230662">
        <w:rPr>
          <w:rStyle w:val="color14"/>
          <w:rFonts w:ascii="Arial" w:hAnsi="Arial" w:cs="Arial"/>
          <w:sz w:val="28"/>
          <w:szCs w:val="28"/>
        </w:rPr>
        <w:t>d</w:t>
      </w:r>
      <w:r w:rsidR="00B14D08" w:rsidRPr="00230662">
        <w:rPr>
          <w:rFonts w:ascii="Arial" w:hAnsi="Arial" w:cs="Arial"/>
          <w:sz w:val="28"/>
          <w:szCs w:val="28"/>
        </w:rPr>
        <w:br/>
      </w:r>
      <w:r w:rsidR="00B14D08" w:rsidRPr="00230662">
        <w:rPr>
          <w:rStyle w:val="color14"/>
          <w:rFonts w:ascii="Arial" w:hAnsi="Arial" w:cs="Arial"/>
          <w:sz w:val="28"/>
          <w:szCs w:val="28"/>
        </w:rPr>
        <w:t>ACN: 618 417 299</w:t>
      </w:r>
    </w:p>
    <w:p w14:paraId="00B1F661" w14:textId="4E48FA91" w:rsidR="00230662" w:rsidRDefault="00230662" w:rsidP="00230662">
      <w:pPr>
        <w:pStyle w:val="Default"/>
        <w:rPr>
          <w:sz w:val="23"/>
          <w:szCs w:val="23"/>
        </w:rPr>
      </w:pPr>
    </w:p>
    <w:p w14:paraId="46458A01" w14:textId="2764FC8D" w:rsidR="00230662" w:rsidRDefault="00230662" w:rsidP="00230662">
      <w:pPr>
        <w:pStyle w:val="Default"/>
        <w:rPr>
          <w:sz w:val="18"/>
          <w:szCs w:val="18"/>
        </w:rPr>
      </w:pPr>
      <w:r>
        <w:rPr>
          <w:sz w:val="18"/>
          <w:szCs w:val="18"/>
        </w:rPr>
        <w:t xml:space="preserve">Thank you for engaging the JPH </w:t>
      </w:r>
      <w:r>
        <w:rPr>
          <w:sz w:val="18"/>
          <w:szCs w:val="18"/>
        </w:rPr>
        <w:t>Lawyers</w:t>
      </w:r>
      <w:r>
        <w:rPr>
          <w:sz w:val="18"/>
          <w:szCs w:val="18"/>
        </w:rPr>
        <w:t xml:space="preserve">. </w:t>
      </w:r>
    </w:p>
    <w:p w14:paraId="683977A0" w14:textId="77777777" w:rsidR="00230662" w:rsidRDefault="00230662" w:rsidP="00230662">
      <w:pPr>
        <w:pStyle w:val="Default"/>
        <w:rPr>
          <w:sz w:val="18"/>
          <w:szCs w:val="18"/>
        </w:rPr>
      </w:pPr>
    </w:p>
    <w:p w14:paraId="2F3EF77A" w14:textId="77777777" w:rsidR="00230662" w:rsidRDefault="00230662" w:rsidP="00230662">
      <w:pPr>
        <w:pStyle w:val="Default"/>
        <w:rPr>
          <w:sz w:val="18"/>
          <w:szCs w:val="18"/>
        </w:rPr>
      </w:pPr>
      <w:r>
        <w:rPr>
          <w:sz w:val="18"/>
          <w:szCs w:val="18"/>
        </w:rPr>
        <w:t>These terms and conditions apply to all clients who engage an entity in the JPH Lawyers</w:t>
      </w:r>
      <w:r>
        <w:rPr>
          <w:sz w:val="18"/>
          <w:szCs w:val="18"/>
        </w:rPr>
        <w:t xml:space="preserve"> </w:t>
      </w:r>
      <w:r>
        <w:rPr>
          <w:sz w:val="18"/>
          <w:szCs w:val="18"/>
        </w:rPr>
        <w:t xml:space="preserve">to provide our </w:t>
      </w:r>
      <w:r>
        <w:rPr>
          <w:sz w:val="18"/>
          <w:szCs w:val="18"/>
        </w:rPr>
        <w:t>legal</w:t>
      </w:r>
      <w:r>
        <w:rPr>
          <w:sz w:val="18"/>
          <w:szCs w:val="18"/>
        </w:rPr>
        <w:t xml:space="preserve">, </w:t>
      </w:r>
      <w:r>
        <w:rPr>
          <w:sz w:val="18"/>
          <w:szCs w:val="18"/>
        </w:rPr>
        <w:t>a</w:t>
      </w:r>
      <w:r>
        <w:rPr>
          <w:sz w:val="18"/>
          <w:szCs w:val="18"/>
        </w:rPr>
        <w:t>dvisory and related services.</w:t>
      </w:r>
    </w:p>
    <w:p w14:paraId="74CC2CFE" w14:textId="4E9E7017" w:rsidR="00230662" w:rsidRDefault="00230662" w:rsidP="00230662">
      <w:pPr>
        <w:pStyle w:val="Default"/>
        <w:rPr>
          <w:sz w:val="18"/>
          <w:szCs w:val="18"/>
        </w:rPr>
      </w:pPr>
      <w:r>
        <w:rPr>
          <w:sz w:val="18"/>
          <w:szCs w:val="18"/>
        </w:rPr>
        <w:t xml:space="preserve"> </w:t>
      </w:r>
    </w:p>
    <w:p w14:paraId="57E6EF67" w14:textId="77777777" w:rsidR="00230662" w:rsidRDefault="00230662" w:rsidP="00230662">
      <w:pPr>
        <w:pStyle w:val="Default"/>
        <w:rPr>
          <w:sz w:val="18"/>
          <w:szCs w:val="18"/>
        </w:rPr>
      </w:pPr>
      <w:r>
        <w:rPr>
          <w:b/>
          <w:bCs/>
          <w:sz w:val="18"/>
          <w:szCs w:val="18"/>
        </w:rPr>
        <w:t xml:space="preserve">Tailoring our services to you </w:t>
      </w:r>
    </w:p>
    <w:p w14:paraId="517B283F" w14:textId="77777777" w:rsidR="00230662" w:rsidRDefault="00230662" w:rsidP="00230662">
      <w:pPr>
        <w:pStyle w:val="Default"/>
        <w:rPr>
          <w:sz w:val="18"/>
          <w:szCs w:val="18"/>
        </w:rPr>
      </w:pPr>
      <w:r>
        <w:rPr>
          <w:sz w:val="18"/>
          <w:szCs w:val="18"/>
        </w:rPr>
        <w:t xml:space="preserve">The annexure to these terms describes the separate entities which comprise the JPH Group business units, and the specific services which each unit provides to our clients. When you engage JPH Group, you may engage more than one business unit to act for you, if you require a range of services to be provided. For example, you may require tax and accounting advice - which is provided by our JPH Tax partnership, as well as mortgage broking services - which are provided separately by JPH Mortgages. </w:t>
      </w:r>
    </w:p>
    <w:p w14:paraId="6E736B04" w14:textId="77777777" w:rsidR="00230662" w:rsidRDefault="00230662" w:rsidP="00230662">
      <w:pPr>
        <w:pStyle w:val="Default"/>
        <w:rPr>
          <w:b/>
          <w:bCs/>
          <w:sz w:val="18"/>
          <w:szCs w:val="18"/>
        </w:rPr>
      </w:pPr>
    </w:p>
    <w:p w14:paraId="7CC3CCF4" w14:textId="1DA8C3FC" w:rsidR="00230662" w:rsidRDefault="00230662" w:rsidP="00230662">
      <w:pPr>
        <w:pStyle w:val="Default"/>
        <w:rPr>
          <w:sz w:val="18"/>
          <w:szCs w:val="18"/>
        </w:rPr>
      </w:pPr>
      <w:r>
        <w:rPr>
          <w:b/>
          <w:bCs/>
          <w:sz w:val="18"/>
          <w:szCs w:val="18"/>
        </w:rPr>
        <w:t xml:space="preserve">No referral fees or commissions </w:t>
      </w:r>
    </w:p>
    <w:p w14:paraId="7E9AA532" w14:textId="77777777" w:rsidR="00230662" w:rsidRDefault="00230662" w:rsidP="00230662">
      <w:pPr>
        <w:pStyle w:val="Default"/>
        <w:rPr>
          <w:sz w:val="18"/>
          <w:szCs w:val="18"/>
        </w:rPr>
      </w:pPr>
      <w:r>
        <w:rPr>
          <w:sz w:val="18"/>
          <w:szCs w:val="18"/>
        </w:rPr>
        <w:t xml:space="preserve">If a client is referred from one business unit to another, no JPH entity pays a referral fee or commission to another of the JPH entities. </w:t>
      </w:r>
    </w:p>
    <w:p w14:paraId="37E35159" w14:textId="77777777" w:rsidR="00230662" w:rsidRDefault="00230662" w:rsidP="00230662">
      <w:pPr>
        <w:pStyle w:val="Default"/>
        <w:rPr>
          <w:sz w:val="18"/>
          <w:szCs w:val="18"/>
        </w:rPr>
      </w:pPr>
    </w:p>
    <w:p w14:paraId="0DC07969" w14:textId="5CDD7BCD" w:rsidR="00230662" w:rsidRDefault="00230662" w:rsidP="00230662">
      <w:pPr>
        <w:pStyle w:val="Default"/>
        <w:rPr>
          <w:sz w:val="18"/>
          <w:szCs w:val="18"/>
        </w:rPr>
      </w:pPr>
      <w:r>
        <w:rPr>
          <w:sz w:val="18"/>
          <w:szCs w:val="18"/>
        </w:rPr>
        <w:t xml:space="preserve">Each business unit charges the client separately for the services which it supplies to the client. </w:t>
      </w:r>
    </w:p>
    <w:p w14:paraId="78076949" w14:textId="77777777" w:rsidR="00230662" w:rsidRDefault="00230662" w:rsidP="00230662">
      <w:pPr>
        <w:pStyle w:val="Default"/>
        <w:rPr>
          <w:b/>
          <w:bCs/>
          <w:sz w:val="18"/>
          <w:szCs w:val="18"/>
        </w:rPr>
      </w:pPr>
    </w:p>
    <w:p w14:paraId="2BFE6991" w14:textId="26B4900F" w:rsidR="00230662" w:rsidRDefault="00230662" w:rsidP="00230662">
      <w:pPr>
        <w:pStyle w:val="Default"/>
        <w:rPr>
          <w:sz w:val="18"/>
          <w:szCs w:val="18"/>
        </w:rPr>
      </w:pPr>
      <w:r>
        <w:rPr>
          <w:b/>
          <w:bCs/>
          <w:sz w:val="18"/>
          <w:szCs w:val="18"/>
        </w:rPr>
        <w:t xml:space="preserve">There are some specific terms which apply to different business units </w:t>
      </w:r>
    </w:p>
    <w:p w14:paraId="5A24B0E6" w14:textId="4F5F0D8E" w:rsidR="00230662" w:rsidRDefault="00230662" w:rsidP="00230662">
      <w:pPr>
        <w:pStyle w:val="Default"/>
        <w:rPr>
          <w:sz w:val="18"/>
          <w:szCs w:val="18"/>
        </w:rPr>
      </w:pPr>
      <w:r>
        <w:rPr>
          <w:sz w:val="18"/>
          <w:szCs w:val="18"/>
        </w:rPr>
        <w:t xml:space="preserve">As a result of each business unit providing services of a different kind, each one has different regulatory and disclosure requirements. </w:t>
      </w:r>
    </w:p>
    <w:p w14:paraId="0C97DA21" w14:textId="77777777" w:rsidR="00230662" w:rsidRDefault="00230662" w:rsidP="00230662">
      <w:pPr>
        <w:pStyle w:val="Default"/>
        <w:rPr>
          <w:sz w:val="18"/>
          <w:szCs w:val="18"/>
        </w:rPr>
      </w:pPr>
    </w:p>
    <w:p w14:paraId="348ADDE5" w14:textId="77777777" w:rsidR="00230662" w:rsidRDefault="00230662" w:rsidP="00230662">
      <w:pPr>
        <w:pStyle w:val="Default"/>
        <w:rPr>
          <w:sz w:val="18"/>
          <w:szCs w:val="18"/>
        </w:rPr>
      </w:pPr>
      <w:proofErr w:type="gramStart"/>
      <w:r>
        <w:rPr>
          <w:sz w:val="18"/>
          <w:szCs w:val="18"/>
        </w:rPr>
        <w:t>So</w:t>
      </w:r>
      <w:proofErr w:type="gramEnd"/>
      <w:r>
        <w:rPr>
          <w:sz w:val="18"/>
          <w:szCs w:val="18"/>
        </w:rPr>
        <w:t xml:space="preserve"> when you engage each business unit, there will be additional terms and conditions specific to those services. Those terms and conditions complement these general terms, but to the extent there is any inconsistency the specific terms and conditions prevail.</w:t>
      </w:r>
    </w:p>
    <w:p w14:paraId="4CA33D7F" w14:textId="3897D9CA" w:rsidR="00230662" w:rsidRDefault="00230662" w:rsidP="00230662">
      <w:pPr>
        <w:pStyle w:val="Default"/>
        <w:rPr>
          <w:sz w:val="18"/>
          <w:szCs w:val="18"/>
        </w:rPr>
      </w:pPr>
      <w:r>
        <w:rPr>
          <w:sz w:val="18"/>
          <w:szCs w:val="18"/>
        </w:rPr>
        <w:t xml:space="preserve"> </w:t>
      </w:r>
    </w:p>
    <w:p w14:paraId="2D7B1817" w14:textId="77777777" w:rsidR="00230662" w:rsidRDefault="00230662" w:rsidP="00230662">
      <w:pPr>
        <w:pStyle w:val="Default"/>
        <w:rPr>
          <w:sz w:val="18"/>
          <w:szCs w:val="18"/>
        </w:rPr>
      </w:pPr>
      <w:r>
        <w:rPr>
          <w:b/>
          <w:bCs/>
          <w:sz w:val="18"/>
          <w:szCs w:val="18"/>
        </w:rPr>
        <w:t xml:space="preserve">Business units have some common ownership, and common officers </w:t>
      </w:r>
    </w:p>
    <w:p w14:paraId="6657F3DC" w14:textId="77777777" w:rsidR="00230662" w:rsidRDefault="00230662" w:rsidP="00230662">
      <w:pPr>
        <w:pStyle w:val="Default"/>
        <w:rPr>
          <w:sz w:val="18"/>
          <w:szCs w:val="18"/>
        </w:rPr>
      </w:pPr>
      <w:r>
        <w:rPr>
          <w:sz w:val="18"/>
          <w:szCs w:val="18"/>
        </w:rPr>
        <w:t xml:space="preserve">Each business unit is a separate legal entity, but each unit has ownership in common with the others to varying degrees, and do have common officers and employees. </w:t>
      </w:r>
    </w:p>
    <w:p w14:paraId="326DEC46" w14:textId="77777777" w:rsidR="00230662" w:rsidRDefault="00230662" w:rsidP="00230662">
      <w:pPr>
        <w:pStyle w:val="Default"/>
        <w:rPr>
          <w:b/>
          <w:bCs/>
          <w:sz w:val="18"/>
          <w:szCs w:val="18"/>
        </w:rPr>
      </w:pPr>
    </w:p>
    <w:p w14:paraId="57332007" w14:textId="0BD62C4B" w:rsidR="00230662" w:rsidRDefault="00230662" w:rsidP="00230662">
      <w:pPr>
        <w:pStyle w:val="Default"/>
        <w:rPr>
          <w:b/>
          <w:bCs/>
          <w:sz w:val="18"/>
          <w:szCs w:val="18"/>
        </w:rPr>
      </w:pPr>
      <w:r>
        <w:rPr>
          <w:b/>
          <w:bCs/>
          <w:sz w:val="18"/>
          <w:szCs w:val="18"/>
        </w:rPr>
        <w:t xml:space="preserve">Confidentiality </w:t>
      </w:r>
    </w:p>
    <w:p w14:paraId="22CC1F36" w14:textId="77777777" w:rsidR="00230662" w:rsidRDefault="00230662" w:rsidP="00230662">
      <w:pPr>
        <w:pStyle w:val="Default"/>
        <w:rPr>
          <w:sz w:val="18"/>
          <w:szCs w:val="18"/>
        </w:rPr>
      </w:pPr>
    </w:p>
    <w:p w14:paraId="5F6095F7" w14:textId="77777777" w:rsidR="00230662" w:rsidRDefault="00230662" w:rsidP="00230662">
      <w:pPr>
        <w:pStyle w:val="Default"/>
        <w:rPr>
          <w:sz w:val="18"/>
          <w:szCs w:val="18"/>
        </w:rPr>
      </w:pPr>
      <w:r>
        <w:rPr>
          <w:sz w:val="18"/>
          <w:szCs w:val="18"/>
        </w:rPr>
        <w:t xml:space="preserve">Your confidential information is kept confidential to your file within each business unit, except to the extent that you authorise JPH Group to share information between business units in order that each business unit is able to provide its services to you. </w:t>
      </w:r>
    </w:p>
    <w:p w14:paraId="3B4883C9" w14:textId="77777777" w:rsidR="00230662" w:rsidRDefault="00230662" w:rsidP="00230662">
      <w:pPr>
        <w:pStyle w:val="Default"/>
        <w:rPr>
          <w:sz w:val="18"/>
          <w:szCs w:val="18"/>
        </w:rPr>
      </w:pPr>
    </w:p>
    <w:p w14:paraId="2A2BF485" w14:textId="3ACE0910" w:rsidR="00230662" w:rsidRDefault="00230662" w:rsidP="00230662">
      <w:pPr>
        <w:pStyle w:val="Default"/>
        <w:rPr>
          <w:sz w:val="18"/>
          <w:szCs w:val="18"/>
        </w:rPr>
      </w:pPr>
      <w:proofErr w:type="gramStart"/>
      <w:r>
        <w:rPr>
          <w:sz w:val="18"/>
          <w:szCs w:val="18"/>
        </w:rPr>
        <w:t>Generally</w:t>
      </w:r>
      <w:proofErr w:type="gramEnd"/>
      <w:r>
        <w:rPr>
          <w:sz w:val="18"/>
          <w:szCs w:val="18"/>
        </w:rPr>
        <w:t xml:space="preserve"> that authorisation will be sought from you in person when it is apparent that you will require, for instance, tax and accounting services (provided by JPH Tax) as well as </w:t>
      </w:r>
      <w:r>
        <w:rPr>
          <w:sz w:val="18"/>
          <w:szCs w:val="18"/>
        </w:rPr>
        <w:t>legal</w:t>
      </w:r>
      <w:r>
        <w:rPr>
          <w:sz w:val="18"/>
          <w:szCs w:val="18"/>
        </w:rPr>
        <w:t xml:space="preserve"> services (provided by JPH </w:t>
      </w:r>
      <w:r>
        <w:rPr>
          <w:sz w:val="18"/>
          <w:szCs w:val="18"/>
        </w:rPr>
        <w:t>Lawyers</w:t>
      </w:r>
      <w:r>
        <w:rPr>
          <w:sz w:val="18"/>
          <w:szCs w:val="18"/>
        </w:rPr>
        <w:t xml:space="preserve">). </w:t>
      </w:r>
    </w:p>
    <w:p w14:paraId="6E85F562" w14:textId="77777777" w:rsidR="00230662" w:rsidRDefault="00230662" w:rsidP="00230662">
      <w:pPr>
        <w:pStyle w:val="Default"/>
        <w:rPr>
          <w:sz w:val="18"/>
          <w:szCs w:val="18"/>
        </w:rPr>
      </w:pPr>
    </w:p>
    <w:p w14:paraId="17661460" w14:textId="5FC1B34A" w:rsidR="00230662" w:rsidRDefault="00230662" w:rsidP="00230662">
      <w:pPr>
        <w:pStyle w:val="Default"/>
        <w:rPr>
          <w:sz w:val="18"/>
          <w:szCs w:val="18"/>
        </w:rPr>
      </w:pPr>
      <w:r>
        <w:rPr>
          <w:sz w:val="18"/>
          <w:szCs w:val="18"/>
        </w:rPr>
        <w:t xml:space="preserve">Otherwise, JPH </w:t>
      </w:r>
      <w:r>
        <w:rPr>
          <w:sz w:val="18"/>
          <w:szCs w:val="18"/>
        </w:rPr>
        <w:t>Lawyers</w:t>
      </w:r>
      <w:r>
        <w:rPr>
          <w:sz w:val="18"/>
          <w:szCs w:val="18"/>
        </w:rPr>
        <w:t xml:space="preserve"> will seek that authorisation from you in writing. </w:t>
      </w:r>
    </w:p>
    <w:p w14:paraId="2F8B4DD6" w14:textId="77777777" w:rsidR="00230662" w:rsidRDefault="00230662" w:rsidP="00230662">
      <w:pPr>
        <w:pStyle w:val="Default"/>
        <w:rPr>
          <w:sz w:val="18"/>
          <w:szCs w:val="18"/>
        </w:rPr>
      </w:pPr>
    </w:p>
    <w:p w14:paraId="42287314" w14:textId="77777777" w:rsidR="00230662" w:rsidRDefault="00230662" w:rsidP="00230662">
      <w:pPr>
        <w:pStyle w:val="Default"/>
        <w:rPr>
          <w:sz w:val="14"/>
          <w:szCs w:val="14"/>
        </w:rPr>
      </w:pPr>
      <w:r>
        <w:rPr>
          <w:sz w:val="18"/>
          <w:szCs w:val="18"/>
        </w:rPr>
        <w:t xml:space="preserve">In some circumstances, outlined under 'Conflicts management' below, persons who work in or have an ownership interest in a particular business unit will be prevented from accessing information on your file in that business unit. </w:t>
      </w:r>
      <w:r>
        <w:rPr>
          <w:sz w:val="14"/>
          <w:szCs w:val="14"/>
        </w:rPr>
        <w:t xml:space="preserve">page 2 </w:t>
      </w:r>
    </w:p>
    <w:p w14:paraId="24D395B1" w14:textId="77777777" w:rsidR="00230662" w:rsidRDefault="00230662" w:rsidP="00230662">
      <w:pPr>
        <w:pStyle w:val="Default"/>
        <w:rPr>
          <w:color w:val="auto"/>
        </w:rPr>
      </w:pPr>
    </w:p>
    <w:p w14:paraId="64226F74" w14:textId="77777777" w:rsidR="00230662" w:rsidRDefault="00230662" w:rsidP="00230662">
      <w:pPr>
        <w:pStyle w:val="Default"/>
        <w:pageBreakBefore/>
        <w:rPr>
          <w:color w:val="auto"/>
          <w:sz w:val="18"/>
          <w:szCs w:val="18"/>
        </w:rPr>
      </w:pPr>
      <w:r>
        <w:rPr>
          <w:b/>
          <w:bCs/>
          <w:color w:val="auto"/>
          <w:sz w:val="18"/>
          <w:szCs w:val="18"/>
        </w:rPr>
        <w:lastRenderedPageBreak/>
        <w:t xml:space="preserve">Conflicts management </w:t>
      </w:r>
    </w:p>
    <w:p w14:paraId="181AB246" w14:textId="77777777" w:rsidR="00230662" w:rsidRDefault="00230662" w:rsidP="00230662">
      <w:pPr>
        <w:pStyle w:val="Default"/>
        <w:rPr>
          <w:color w:val="auto"/>
          <w:sz w:val="18"/>
          <w:szCs w:val="18"/>
        </w:rPr>
      </w:pPr>
      <w:r>
        <w:rPr>
          <w:color w:val="auto"/>
          <w:sz w:val="18"/>
          <w:szCs w:val="18"/>
        </w:rPr>
        <w:t xml:space="preserve">In some circumstances JPH Group may be acting on behalf of two clients in relation to a single transaction. </w:t>
      </w:r>
    </w:p>
    <w:p w14:paraId="3F6C3239" w14:textId="77777777" w:rsidR="00230662" w:rsidRDefault="00230662" w:rsidP="00230662">
      <w:pPr>
        <w:pStyle w:val="Default"/>
        <w:rPr>
          <w:color w:val="auto"/>
          <w:sz w:val="18"/>
          <w:szCs w:val="18"/>
        </w:rPr>
      </w:pPr>
    </w:p>
    <w:p w14:paraId="5335E7F1" w14:textId="34CF8182" w:rsidR="00230662" w:rsidRDefault="00230662" w:rsidP="00230662">
      <w:pPr>
        <w:pStyle w:val="Default"/>
        <w:rPr>
          <w:color w:val="auto"/>
          <w:sz w:val="18"/>
          <w:szCs w:val="18"/>
        </w:rPr>
      </w:pPr>
      <w:proofErr w:type="gramStart"/>
      <w:r>
        <w:rPr>
          <w:color w:val="auto"/>
          <w:sz w:val="18"/>
          <w:szCs w:val="18"/>
        </w:rPr>
        <w:t>Generally</w:t>
      </w:r>
      <w:proofErr w:type="gramEnd"/>
      <w:r>
        <w:rPr>
          <w:color w:val="auto"/>
          <w:sz w:val="18"/>
          <w:szCs w:val="18"/>
        </w:rPr>
        <w:t xml:space="preserve"> this arises in respect of the Mint Business Brokers business unit where, for example, Mint may be acting for the vendor of a business or real estate, and sells (or proposes to sell) that business or real estate to a different client of another JPH Group business unit. </w:t>
      </w:r>
    </w:p>
    <w:p w14:paraId="17A83909" w14:textId="77777777" w:rsidR="00230662" w:rsidRDefault="00230662" w:rsidP="00230662">
      <w:pPr>
        <w:pStyle w:val="Default"/>
        <w:rPr>
          <w:color w:val="auto"/>
          <w:sz w:val="18"/>
          <w:szCs w:val="18"/>
        </w:rPr>
      </w:pPr>
    </w:p>
    <w:p w14:paraId="560FF173" w14:textId="77777777" w:rsidR="00230662" w:rsidRDefault="00230662" w:rsidP="00230662">
      <w:pPr>
        <w:pStyle w:val="Default"/>
        <w:rPr>
          <w:color w:val="auto"/>
          <w:sz w:val="18"/>
          <w:szCs w:val="18"/>
        </w:rPr>
      </w:pPr>
      <w:r>
        <w:rPr>
          <w:color w:val="auto"/>
          <w:sz w:val="18"/>
          <w:szCs w:val="18"/>
        </w:rPr>
        <w:t>In such circumstances, JPH Group will apply the following protocols (</w:t>
      </w:r>
      <w:r>
        <w:rPr>
          <w:b/>
          <w:bCs/>
          <w:color w:val="auto"/>
          <w:sz w:val="18"/>
          <w:szCs w:val="18"/>
        </w:rPr>
        <w:t>Conflicts Protocols</w:t>
      </w:r>
      <w:r>
        <w:rPr>
          <w:color w:val="auto"/>
          <w:sz w:val="18"/>
          <w:szCs w:val="18"/>
        </w:rPr>
        <w:t xml:space="preserve">): </w:t>
      </w:r>
    </w:p>
    <w:p w14:paraId="3CAEAE02" w14:textId="77777777" w:rsidR="00230662" w:rsidRDefault="00230662" w:rsidP="00230662">
      <w:pPr>
        <w:pStyle w:val="Default"/>
        <w:spacing w:after="237"/>
        <w:rPr>
          <w:color w:val="auto"/>
          <w:sz w:val="18"/>
          <w:szCs w:val="18"/>
        </w:rPr>
      </w:pPr>
      <w:r>
        <w:rPr>
          <w:rFonts w:ascii="Wingdings" w:hAnsi="Wingdings" w:cs="Wingdings"/>
          <w:color w:val="auto"/>
          <w:sz w:val="20"/>
          <w:szCs w:val="20"/>
        </w:rPr>
        <w:t></w:t>
      </w:r>
      <w:r>
        <w:rPr>
          <w:rFonts w:ascii="Wingdings" w:hAnsi="Wingdings" w:cs="Wingdings"/>
          <w:color w:val="auto"/>
          <w:sz w:val="20"/>
          <w:szCs w:val="20"/>
        </w:rPr>
        <w:t></w:t>
      </w:r>
      <w:r>
        <w:rPr>
          <w:color w:val="auto"/>
          <w:sz w:val="18"/>
          <w:szCs w:val="18"/>
        </w:rPr>
        <w:t xml:space="preserve">Mint will not act for both a vendor and purchaser in respect of the same business or real estate; </w:t>
      </w:r>
    </w:p>
    <w:p w14:paraId="1456456A" w14:textId="77777777" w:rsidR="00230662" w:rsidRDefault="00230662" w:rsidP="00230662">
      <w:pPr>
        <w:pStyle w:val="Default"/>
        <w:spacing w:after="237"/>
        <w:rPr>
          <w:color w:val="auto"/>
          <w:sz w:val="18"/>
          <w:szCs w:val="18"/>
        </w:rPr>
      </w:pPr>
      <w:r>
        <w:rPr>
          <w:rFonts w:ascii="Wingdings" w:hAnsi="Wingdings" w:cs="Wingdings"/>
          <w:color w:val="auto"/>
          <w:sz w:val="20"/>
          <w:szCs w:val="20"/>
        </w:rPr>
        <w:t></w:t>
      </w:r>
      <w:r>
        <w:rPr>
          <w:rFonts w:ascii="Wingdings" w:hAnsi="Wingdings" w:cs="Wingdings"/>
          <w:color w:val="auto"/>
          <w:sz w:val="20"/>
          <w:szCs w:val="20"/>
        </w:rPr>
        <w:t></w:t>
      </w:r>
      <w:r>
        <w:rPr>
          <w:color w:val="auto"/>
          <w:sz w:val="18"/>
          <w:szCs w:val="18"/>
        </w:rPr>
        <w:t xml:space="preserve">The other client will be represented by a separate JPH Group business unit; </w:t>
      </w:r>
    </w:p>
    <w:p w14:paraId="4CB1C04F" w14:textId="77777777" w:rsidR="00230662" w:rsidRDefault="00230662" w:rsidP="00230662">
      <w:pPr>
        <w:pStyle w:val="Default"/>
        <w:spacing w:after="237"/>
        <w:rPr>
          <w:color w:val="auto"/>
          <w:sz w:val="18"/>
          <w:szCs w:val="18"/>
        </w:rPr>
      </w:pPr>
      <w:r>
        <w:rPr>
          <w:rFonts w:ascii="Wingdings" w:hAnsi="Wingdings" w:cs="Wingdings"/>
          <w:color w:val="auto"/>
          <w:sz w:val="20"/>
          <w:szCs w:val="20"/>
        </w:rPr>
        <w:t></w:t>
      </w:r>
      <w:r>
        <w:rPr>
          <w:rFonts w:ascii="Wingdings" w:hAnsi="Wingdings" w:cs="Wingdings"/>
          <w:color w:val="auto"/>
          <w:sz w:val="20"/>
          <w:szCs w:val="20"/>
        </w:rPr>
        <w:t></w:t>
      </w:r>
      <w:r>
        <w:rPr>
          <w:color w:val="auto"/>
          <w:sz w:val="18"/>
          <w:szCs w:val="18"/>
        </w:rPr>
        <w:t xml:space="preserve">Where Mint has an owner, employee or officer in common with the other JPH entity, then strict matter protocols will be </w:t>
      </w:r>
      <w:proofErr w:type="gramStart"/>
      <w:r>
        <w:rPr>
          <w:color w:val="auto"/>
          <w:sz w:val="18"/>
          <w:szCs w:val="18"/>
        </w:rPr>
        <w:t>effected</w:t>
      </w:r>
      <w:proofErr w:type="gramEnd"/>
      <w:r>
        <w:rPr>
          <w:color w:val="auto"/>
          <w:sz w:val="18"/>
          <w:szCs w:val="18"/>
        </w:rPr>
        <w:t xml:space="preserve"> such that no person in the JPH Group – regardless of their capacity - will have access to both client files (sometimes referred to as a 'Chinese wall'); </w:t>
      </w:r>
    </w:p>
    <w:p w14:paraId="5A2B7781" w14:textId="77777777" w:rsidR="00230662" w:rsidRDefault="00230662" w:rsidP="00230662">
      <w:pPr>
        <w:pStyle w:val="Default"/>
        <w:spacing w:after="237"/>
        <w:rPr>
          <w:color w:val="auto"/>
          <w:sz w:val="18"/>
          <w:szCs w:val="18"/>
        </w:rPr>
      </w:pPr>
      <w:r>
        <w:rPr>
          <w:rFonts w:ascii="Wingdings" w:hAnsi="Wingdings" w:cs="Wingdings"/>
          <w:color w:val="auto"/>
          <w:sz w:val="20"/>
          <w:szCs w:val="20"/>
        </w:rPr>
        <w:t></w:t>
      </w:r>
      <w:r>
        <w:rPr>
          <w:rFonts w:ascii="Wingdings" w:hAnsi="Wingdings" w:cs="Wingdings"/>
          <w:color w:val="auto"/>
          <w:sz w:val="20"/>
          <w:szCs w:val="20"/>
        </w:rPr>
        <w:t></w:t>
      </w:r>
      <w:r>
        <w:rPr>
          <w:color w:val="auto"/>
          <w:sz w:val="18"/>
          <w:szCs w:val="18"/>
        </w:rPr>
        <w:t xml:space="preserve">Consistent with the JPH Group's confidentiality policies and obligations, neither JPH entity will share information about their respective clients; </w:t>
      </w:r>
    </w:p>
    <w:p w14:paraId="509483C7" w14:textId="77777777" w:rsidR="00230662" w:rsidRDefault="00230662" w:rsidP="00230662">
      <w:pPr>
        <w:pStyle w:val="Default"/>
        <w:rPr>
          <w:color w:val="auto"/>
          <w:sz w:val="18"/>
          <w:szCs w:val="18"/>
        </w:rPr>
      </w:pPr>
      <w:r>
        <w:rPr>
          <w:rFonts w:ascii="Wingdings" w:hAnsi="Wingdings" w:cs="Wingdings"/>
          <w:color w:val="auto"/>
          <w:sz w:val="20"/>
          <w:szCs w:val="20"/>
        </w:rPr>
        <w:t></w:t>
      </w:r>
      <w:r>
        <w:rPr>
          <w:rFonts w:ascii="Wingdings" w:hAnsi="Wingdings" w:cs="Wingdings"/>
          <w:color w:val="auto"/>
          <w:sz w:val="20"/>
          <w:szCs w:val="20"/>
        </w:rPr>
        <w:t></w:t>
      </w:r>
      <w:r>
        <w:rPr>
          <w:color w:val="auto"/>
          <w:sz w:val="18"/>
          <w:szCs w:val="18"/>
        </w:rPr>
        <w:t xml:space="preserve">Information about the respective clients' positions will only be disclosed as instructed by each relevant client, consistent with commercial arm's length dealing. </w:t>
      </w:r>
    </w:p>
    <w:p w14:paraId="6C90430E" w14:textId="77777777" w:rsidR="00230662" w:rsidRDefault="00230662" w:rsidP="00230662">
      <w:pPr>
        <w:pStyle w:val="Default"/>
        <w:rPr>
          <w:color w:val="auto"/>
          <w:sz w:val="18"/>
          <w:szCs w:val="18"/>
        </w:rPr>
      </w:pPr>
    </w:p>
    <w:p w14:paraId="75696126" w14:textId="2BA0DBD2" w:rsidR="00230662" w:rsidRDefault="00230662" w:rsidP="00230662">
      <w:pPr>
        <w:pStyle w:val="Default"/>
        <w:rPr>
          <w:b/>
          <w:bCs/>
          <w:color w:val="auto"/>
          <w:sz w:val="18"/>
          <w:szCs w:val="18"/>
        </w:rPr>
      </w:pPr>
      <w:r>
        <w:rPr>
          <w:b/>
          <w:bCs/>
          <w:color w:val="auto"/>
          <w:sz w:val="18"/>
          <w:szCs w:val="18"/>
        </w:rPr>
        <w:t xml:space="preserve">Remuneration arrangements </w:t>
      </w:r>
    </w:p>
    <w:p w14:paraId="551DE10D" w14:textId="77777777" w:rsidR="00230662" w:rsidRDefault="00230662" w:rsidP="00230662">
      <w:pPr>
        <w:pStyle w:val="Default"/>
        <w:rPr>
          <w:color w:val="auto"/>
          <w:sz w:val="18"/>
          <w:szCs w:val="18"/>
        </w:rPr>
      </w:pPr>
    </w:p>
    <w:p w14:paraId="66C0F2C0" w14:textId="77777777" w:rsidR="00230662" w:rsidRDefault="00230662" w:rsidP="00230662">
      <w:pPr>
        <w:pStyle w:val="Default"/>
        <w:rPr>
          <w:color w:val="auto"/>
          <w:sz w:val="18"/>
          <w:szCs w:val="18"/>
        </w:rPr>
      </w:pPr>
      <w:r>
        <w:rPr>
          <w:color w:val="auto"/>
          <w:sz w:val="18"/>
          <w:szCs w:val="18"/>
        </w:rPr>
        <w:t xml:space="preserve">JPH Group confirms that in the above circumstances, as in every matter, each business unit charges and recovers fees and expenses only from that unit's own clients. </w:t>
      </w:r>
    </w:p>
    <w:p w14:paraId="67D842E4" w14:textId="77777777" w:rsidR="00230662" w:rsidRDefault="00230662" w:rsidP="00230662">
      <w:pPr>
        <w:pStyle w:val="Default"/>
        <w:rPr>
          <w:color w:val="auto"/>
          <w:sz w:val="18"/>
          <w:szCs w:val="18"/>
        </w:rPr>
      </w:pPr>
    </w:p>
    <w:p w14:paraId="132DAB03" w14:textId="764FA0C9" w:rsidR="00230662" w:rsidRDefault="00230662" w:rsidP="00230662">
      <w:pPr>
        <w:pStyle w:val="Default"/>
        <w:rPr>
          <w:color w:val="auto"/>
          <w:sz w:val="18"/>
          <w:szCs w:val="18"/>
        </w:rPr>
      </w:pPr>
      <w:r>
        <w:rPr>
          <w:color w:val="auto"/>
          <w:sz w:val="18"/>
          <w:szCs w:val="18"/>
        </w:rPr>
        <w:t xml:space="preserve">However, in circumstances where business units have common ownership, officers or employees, those persons or entities may benefit indirectly from services provided by another business unit under the Conflicts Protocols. To provide an example, although a common director will be prevented by the Conflicts Protocols from acting in Mint on a transaction for client B (because, say, that director acts for client A on that transaction in JPH Taxation), the common director may benefit indirectly from the services provided to Client B because they have a financial interest in Mint. </w:t>
      </w:r>
    </w:p>
    <w:p w14:paraId="694C8A45" w14:textId="77777777" w:rsidR="00230662" w:rsidRDefault="00230662" w:rsidP="00230662">
      <w:pPr>
        <w:pStyle w:val="Default"/>
        <w:rPr>
          <w:b/>
          <w:bCs/>
          <w:color w:val="auto"/>
          <w:sz w:val="18"/>
          <w:szCs w:val="18"/>
        </w:rPr>
      </w:pPr>
    </w:p>
    <w:p w14:paraId="5A063DD9" w14:textId="6E8B190A" w:rsidR="00230662" w:rsidRDefault="00230662" w:rsidP="00230662">
      <w:pPr>
        <w:pStyle w:val="Default"/>
        <w:rPr>
          <w:color w:val="auto"/>
          <w:sz w:val="18"/>
          <w:szCs w:val="18"/>
        </w:rPr>
      </w:pPr>
      <w:r>
        <w:rPr>
          <w:b/>
          <w:bCs/>
          <w:color w:val="auto"/>
          <w:sz w:val="18"/>
          <w:szCs w:val="18"/>
        </w:rPr>
        <w:t xml:space="preserve">Advertising arrangements </w:t>
      </w:r>
    </w:p>
    <w:p w14:paraId="3C7F8AAB" w14:textId="77777777" w:rsidR="00230662" w:rsidRDefault="00230662" w:rsidP="00230662">
      <w:pPr>
        <w:pStyle w:val="Default"/>
        <w:rPr>
          <w:color w:val="auto"/>
          <w:sz w:val="18"/>
          <w:szCs w:val="18"/>
        </w:rPr>
      </w:pPr>
      <w:r>
        <w:rPr>
          <w:color w:val="auto"/>
          <w:sz w:val="18"/>
          <w:szCs w:val="18"/>
        </w:rPr>
        <w:t xml:space="preserve">Mint Business Brokers may advertise real estate or businesses either publicly (where instructed by the client under an agreed marketing plan) or to existing clients of the JPH Group or to both. </w:t>
      </w:r>
    </w:p>
    <w:p w14:paraId="09BED40F" w14:textId="77777777" w:rsidR="00230662" w:rsidRDefault="00230662" w:rsidP="00230662">
      <w:pPr>
        <w:pStyle w:val="Default"/>
        <w:rPr>
          <w:color w:val="auto"/>
          <w:sz w:val="18"/>
          <w:szCs w:val="18"/>
        </w:rPr>
      </w:pPr>
    </w:p>
    <w:p w14:paraId="03F79DFD" w14:textId="386159CD" w:rsidR="00230662" w:rsidRDefault="00230662" w:rsidP="00230662">
      <w:pPr>
        <w:pStyle w:val="Default"/>
        <w:rPr>
          <w:color w:val="auto"/>
          <w:sz w:val="18"/>
          <w:szCs w:val="18"/>
        </w:rPr>
      </w:pPr>
      <w:r>
        <w:rPr>
          <w:color w:val="auto"/>
          <w:sz w:val="18"/>
          <w:szCs w:val="18"/>
        </w:rPr>
        <w:t xml:space="preserve">If the JPH Group receives any instructions from other clients regarding real estate or businesses being sold by Mint Business Brokers, then Mint Business Brokers and each relevant entity in the JPH Group will immediately implement the Conflicts Protocols. </w:t>
      </w:r>
    </w:p>
    <w:p w14:paraId="5D7DECC9" w14:textId="77777777" w:rsidR="00230662" w:rsidRDefault="00230662" w:rsidP="00230662">
      <w:pPr>
        <w:pStyle w:val="Default"/>
        <w:rPr>
          <w:b/>
          <w:bCs/>
          <w:color w:val="auto"/>
          <w:sz w:val="18"/>
          <w:szCs w:val="18"/>
        </w:rPr>
      </w:pPr>
    </w:p>
    <w:p w14:paraId="4D749A8C" w14:textId="78D9FAF8" w:rsidR="00230662" w:rsidRDefault="00230662" w:rsidP="00230662">
      <w:pPr>
        <w:pStyle w:val="Default"/>
        <w:rPr>
          <w:color w:val="auto"/>
          <w:sz w:val="18"/>
          <w:szCs w:val="18"/>
        </w:rPr>
      </w:pPr>
      <w:r>
        <w:rPr>
          <w:b/>
          <w:bCs/>
          <w:color w:val="auto"/>
          <w:sz w:val="18"/>
          <w:szCs w:val="18"/>
        </w:rPr>
        <w:t xml:space="preserve">Concerns </w:t>
      </w:r>
    </w:p>
    <w:p w14:paraId="0D59CA13" w14:textId="77777777" w:rsidR="00230662" w:rsidRDefault="00230662" w:rsidP="00230662">
      <w:pPr>
        <w:pStyle w:val="Default"/>
        <w:rPr>
          <w:color w:val="auto"/>
          <w:sz w:val="18"/>
          <w:szCs w:val="18"/>
        </w:rPr>
      </w:pPr>
      <w:r>
        <w:rPr>
          <w:color w:val="auto"/>
          <w:sz w:val="18"/>
          <w:szCs w:val="18"/>
        </w:rPr>
        <w:t xml:space="preserve">Any current or prospective client of JPH Group who has any concerns regarding these terms, the implementation of these terms or the application of the Conflicts Protocols, should immediately speak with their existing contact at JPH Group to attempt to resolve those concerns. </w:t>
      </w:r>
    </w:p>
    <w:p w14:paraId="48A9ECE1" w14:textId="77777777" w:rsidR="00230662" w:rsidRDefault="00230662" w:rsidP="00230662">
      <w:pPr>
        <w:pStyle w:val="Default"/>
        <w:rPr>
          <w:color w:val="auto"/>
          <w:sz w:val="18"/>
          <w:szCs w:val="18"/>
        </w:rPr>
      </w:pPr>
      <w:r>
        <w:rPr>
          <w:color w:val="auto"/>
          <w:sz w:val="18"/>
          <w:szCs w:val="18"/>
        </w:rPr>
        <w:t xml:space="preserve">If those concerns cannot be resolved to the client or prospective client's satisfaction, then JPH Group will advise the client to seek independent advice (and will assist with a referral if so requested). </w:t>
      </w:r>
    </w:p>
    <w:p w14:paraId="1823B75E" w14:textId="77777777" w:rsidR="00230662" w:rsidRDefault="00230662" w:rsidP="00230662">
      <w:pPr>
        <w:pStyle w:val="Default"/>
        <w:rPr>
          <w:b/>
          <w:bCs/>
          <w:color w:val="auto"/>
          <w:sz w:val="18"/>
          <w:szCs w:val="18"/>
        </w:rPr>
      </w:pPr>
    </w:p>
    <w:p w14:paraId="39F1537F" w14:textId="6EADAF1C" w:rsidR="00230662" w:rsidRDefault="00230662" w:rsidP="00230662">
      <w:pPr>
        <w:pStyle w:val="Default"/>
        <w:rPr>
          <w:color w:val="auto"/>
          <w:sz w:val="18"/>
          <w:szCs w:val="18"/>
        </w:rPr>
      </w:pPr>
      <w:r>
        <w:rPr>
          <w:b/>
          <w:bCs/>
          <w:color w:val="auto"/>
          <w:sz w:val="18"/>
          <w:szCs w:val="18"/>
        </w:rPr>
        <w:t xml:space="preserve">Consent </w:t>
      </w:r>
    </w:p>
    <w:p w14:paraId="7A1D0E38" w14:textId="77777777" w:rsidR="00230662" w:rsidRDefault="00230662" w:rsidP="00230662">
      <w:pPr>
        <w:pStyle w:val="Default"/>
        <w:rPr>
          <w:color w:val="auto"/>
          <w:sz w:val="14"/>
          <w:szCs w:val="14"/>
        </w:rPr>
      </w:pPr>
      <w:r>
        <w:rPr>
          <w:color w:val="auto"/>
          <w:sz w:val="18"/>
          <w:szCs w:val="18"/>
        </w:rPr>
        <w:t xml:space="preserve">By engaging an entity in the JPH Group, you acknowledge and agree that you are bound by these terms and consent to each relevant entity in the JPH Group providing its services to you in the manner set out in this document. Each of those entities may separately rely on this acknowledgment. </w:t>
      </w:r>
      <w:r>
        <w:rPr>
          <w:color w:val="auto"/>
          <w:sz w:val="14"/>
          <w:szCs w:val="14"/>
        </w:rPr>
        <w:t xml:space="preserve">page 3 </w:t>
      </w:r>
    </w:p>
    <w:p w14:paraId="47B76770" w14:textId="77777777" w:rsidR="00230662" w:rsidRDefault="00230662" w:rsidP="00230662">
      <w:pPr>
        <w:pStyle w:val="Default"/>
        <w:rPr>
          <w:color w:val="auto"/>
        </w:rPr>
      </w:pPr>
    </w:p>
    <w:p w14:paraId="62081F82" w14:textId="77777777" w:rsidR="00230662" w:rsidRDefault="00230662" w:rsidP="00230662">
      <w:pPr>
        <w:pStyle w:val="Default"/>
        <w:rPr>
          <w:color w:val="auto"/>
        </w:rPr>
        <w:sectPr w:rsidR="00230662">
          <w:pgSz w:w="11906" w:h="17338"/>
          <w:pgMar w:top="2136" w:right="1079" w:bottom="521" w:left="1227" w:header="720" w:footer="720" w:gutter="0"/>
          <w:cols w:space="720"/>
          <w:noEndnote/>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21"/>
        <w:gridCol w:w="4121"/>
      </w:tblGrid>
      <w:tr w:rsidR="00230662" w14:paraId="39857358" w14:textId="77777777">
        <w:tblPrEx>
          <w:tblCellMar>
            <w:top w:w="0" w:type="dxa"/>
            <w:bottom w:w="0" w:type="dxa"/>
          </w:tblCellMar>
        </w:tblPrEx>
        <w:trPr>
          <w:trHeight w:val="217"/>
        </w:trPr>
        <w:tc>
          <w:tcPr>
            <w:tcW w:w="4121" w:type="dxa"/>
          </w:tcPr>
          <w:p w14:paraId="6CADA6AD" w14:textId="77777777" w:rsidR="00230662" w:rsidRDefault="00230662">
            <w:pPr>
              <w:pStyle w:val="Default"/>
              <w:rPr>
                <w:sz w:val="18"/>
                <w:szCs w:val="18"/>
              </w:rPr>
            </w:pPr>
            <w:r>
              <w:rPr>
                <w:b/>
                <w:bCs/>
                <w:color w:val="auto"/>
                <w:sz w:val="18"/>
                <w:szCs w:val="18"/>
              </w:rPr>
              <w:lastRenderedPageBreak/>
              <w:t xml:space="preserve">Annexure to JPH Group terms and conditions - JPH Group Entities </w:t>
            </w:r>
            <w:r>
              <w:rPr>
                <w:b/>
                <w:bCs/>
                <w:sz w:val="18"/>
                <w:szCs w:val="18"/>
              </w:rPr>
              <w:t xml:space="preserve">Entity </w:t>
            </w:r>
          </w:p>
        </w:tc>
        <w:tc>
          <w:tcPr>
            <w:tcW w:w="4121" w:type="dxa"/>
          </w:tcPr>
          <w:p w14:paraId="5CE01CA1" w14:textId="77777777" w:rsidR="00230662" w:rsidRDefault="00230662">
            <w:pPr>
              <w:pStyle w:val="Default"/>
              <w:rPr>
                <w:sz w:val="18"/>
                <w:szCs w:val="18"/>
              </w:rPr>
            </w:pPr>
            <w:r>
              <w:rPr>
                <w:sz w:val="18"/>
                <w:szCs w:val="18"/>
              </w:rPr>
              <w:t xml:space="preserve">JPH Group Pty Ltd ACN 125 795 959 </w:t>
            </w:r>
          </w:p>
          <w:p w14:paraId="1CB727FA" w14:textId="77777777" w:rsidR="00230662" w:rsidRDefault="00230662">
            <w:pPr>
              <w:pStyle w:val="Default"/>
              <w:rPr>
                <w:sz w:val="18"/>
                <w:szCs w:val="18"/>
              </w:rPr>
            </w:pPr>
            <w:r>
              <w:rPr>
                <w:sz w:val="18"/>
                <w:szCs w:val="18"/>
              </w:rPr>
              <w:t xml:space="preserve">as trustee for the JPH Group Unit Trust ABN 12 092 515 212 </w:t>
            </w:r>
          </w:p>
        </w:tc>
      </w:tr>
      <w:tr w:rsidR="00230662" w14:paraId="2898E765" w14:textId="77777777">
        <w:tblPrEx>
          <w:tblCellMar>
            <w:top w:w="0" w:type="dxa"/>
            <w:bottom w:w="0" w:type="dxa"/>
          </w:tblCellMar>
        </w:tblPrEx>
        <w:trPr>
          <w:trHeight w:val="86"/>
        </w:trPr>
        <w:tc>
          <w:tcPr>
            <w:tcW w:w="4121" w:type="dxa"/>
          </w:tcPr>
          <w:p w14:paraId="4FA6C26C" w14:textId="77777777" w:rsidR="00230662" w:rsidRDefault="00230662">
            <w:pPr>
              <w:pStyle w:val="Default"/>
              <w:rPr>
                <w:sz w:val="18"/>
                <w:szCs w:val="18"/>
              </w:rPr>
            </w:pPr>
            <w:r>
              <w:rPr>
                <w:b/>
                <w:bCs/>
                <w:sz w:val="18"/>
                <w:szCs w:val="18"/>
              </w:rPr>
              <w:t xml:space="preserve">Services </w:t>
            </w:r>
          </w:p>
        </w:tc>
        <w:tc>
          <w:tcPr>
            <w:tcW w:w="4121" w:type="dxa"/>
          </w:tcPr>
          <w:p w14:paraId="4B7D7FB4" w14:textId="77777777" w:rsidR="00230662" w:rsidRDefault="00230662">
            <w:pPr>
              <w:pStyle w:val="Default"/>
              <w:rPr>
                <w:sz w:val="18"/>
                <w:szCs w:val="18"/>
              </w:rPr>
            </w:pPr>
            <w:r>
              <w:rPr>
                <w:sz w:val="18"/>
                <w:szCs w:val="18"/>
              </w:rPr>
              <w:t xml:space="preserve">Non-trading </w:t>
            </w:r>
          </w:p>
        </w:tc>
      </w:tr>
      <w:tr w:rsidR="00230662" w14:paraId="4B231A9B" w14:textId="77777777">
        <w:tblPrEx>
          <w:tblCellMar>
            <w:top w:w="0" w:type="dxa"/>
            <w:bottom w:w="0" w:type="dxa"/>
          </w:tblCellMar>
        </w:tblPrEx>
        <w:trPr>
          <w:trHeight w:val="84"/>
        </w:trPr>
        <w:tc>
          <w:tcPr>
            <w:tcW w:w="4121" w:type="dxa"/>
          </w:tcPr>
          <w:p w14:paraId="0CF1E0B7" w14:textId="77777777" w:rsidR="00230662" w:rsidRDefault="00230662">
            <w:pPr>
              <w:pStyle w:val="Default"/>
              <w:rPr>
                <w:sz w:val="18"/>
                <w:szCs w:val="18"/>
              </w:rPr>
            </w:pPr>
            <w:r>
              <w:rPr>
                <w:b/>
                <w:bCs/>
                <w:sz w:val="18"/>
                <w:szCs w:val="18"/>
              </w:rPr>
              <w:t xml:space="preserve">Services </w:t>
            </w:r>
          </w:p>
        </w:tc>
        <w:tc>
          <w:tcPr>
            <w:tcW w:w="4121" w:type="dxa"/>
          </w:tcPr>
          <w:p w14:paraId="364689D9" w14:textId="77777777" w:rsidR="00230662" w:rsidRDefault="00230662">
            <w:pPr>
              <w:pStyle w:val="Default"/>
              <w:rPr>
                <w:sz w:val="18"/>
                <w:szCs w:val="18"/>
              </w:rPr>
            </w:pPr>
            <w:r>
              <w:rPr>
                <w:b/>
                <w:bCs/>
                <w:sz w:val="18"/>
                <w:szCs w:val="18"/>
              </w:rPr>
              <w:t xml:space="preserve">Tax and accounting services </w:t>
            </w:r>
          </w:p>
        </w:tc>
      </w:tr>
      <w:tr w:rsidR="00230662" w14:paraId="296D656D" w14:textId="77777777">
        <w:tblPrEx>
          <w:tblCellMar>
            <w:top w:w="0" w:type="dxa"/>
            <w:bottom w:w="0" w:type="dxa"/>
          </w:tblCellMar>
        </w:tblPrEx>
        <w:trPr>
          <w:trHeight w:val="86"/>
        </w:trPr>
        <w:tc>
          <w:tcPr>
            <w:tcW w:w="4121" w:type="dxa"/>
          </w:tcPr>
          <w:p w14:paraId="1CC07ECF" w14:textId="77777777" w:rsidR="00230662" w:rsidRDefault="00230662">
            <w:pPr>
              <w:pStyle w:val="Default"/>
              <w:rPr>
                <w:sz w:val="18"/>
                <w:szCs w:val="18"/>
              </w:rPr>
            </w:pPr>
            <w:r>
              <w:rPr>
                <w:b/>
                <w:bCs/>
                <w:sz w:val="18"/>
                <w:szCs w:val="18"/>
              </w:rPr>
              <w:t xml:space="preserve">Entity </w:t>
            </w:r>
          </w:p>
        </w:tc>
        <w:tc>
          <w:tcPr>
            <w:tcW w:w="4121" w:type="dxa"/>
          </w:tcPr>
          <w:p w14:paraId="1FCD7E27" w14:textId="77777777" w:rsidR="00230662" w:rsidRDefault="00230662">
            <w:pPr>
              <w:pStyle w:val="Default"/>
              <w:rPr>
                <w:sz w:val="18"/>
                <w:szCs w:val="18"/>
              </w:rPr>
            </w:pPr>
            <w:r>
              <w:rPr>
                <w:sz w:val="18"/>
                <w:szCs w:val="18"/>
              </w:rPr>
              <w:t xml:space="preserve">The partners in the JPH Taxation Services Partnership ABN 53 139 458 805 </w:t>
            </w:r>
          </w:p>
        </w:tc>
      </w:tr>
      <w:tr w:rsidR="00230662" w14:paraId="7ACA715A" w14:textId="77777777">
        <w:tblPrEx>
          <w:tblCellMar>
            <w:top w:w="0" w:type="dxa"/>
            <w:bottom w:w="0" w:type="dxa"/>
          </w:tblCellMar>
        </w:tblPrEx>
        <w:trPr>
          <w:trHeight w:val="86"/>
        </w:trPr>
        <w:tc>
          <w:tcPr>
            <w:tcW w:w="4121" w:type="dxa"/>
          </w:tcPr>
          <w:p w14:paraId="64D8D678" w14:textId="77777777" w:rsidR="00230662" w:rsidRDefault="00230662">
            <w:pPr>
              <w:pStyle w:val="Default"/>
              <w:rPr>
                <w:sz w:val="18"/>
                <w:szCs w:val="18"/>
              </w:rPr>
            </w:pPr>
            <w:r>
              <w:rPr>
                <w:b/>
                <w:bCs/>
                <w:sz w:val="18"/>
                <w:szCs w:val="18"/>
              </w:rPr>
              <w:t xml:space="preserve">Short name </w:t>
            </w:r>
          </w:p>
        </w:tc>
        <w:tc>
          <w:tcPr>
            <w:tcW w:w="4121" w:type="dxa"/>
          </w:tcPr>
          <w:p w14:paraId="6DA8AB8F" w14:textId="77777777" w:rsidR="00230662" w:rsidRDefault="00230662">
            <w:pPr>
              <w:pStyle w:val="Default"/>
              <w:rPr>
                <w:sz w:val="18"/>
                <w:szCs w:val="18"/>
              </w:rPr>
            </w:pPr>
            <w:r>
              <w:rPr>
                <w:sz w:val="18"/>
                <w:szCs w:val="18"/>
              </w:rPr>
              <w:t xml:space="preserve">JPH Tax </w:t>
            </w:r>
          </w:p>
        </w:tc>
      </w:tr>
      <w:tr w:rsidR="00230662" w14:paraId="5DF81A01" w14:textId="77777777">
        <w:tblPrEx>
          <w:tblCellMar>
            <w:top w:w="0" w:type="dxa"/>
            <w:bottom w:w="0" w:type="dxa"/>
          </w:tblCellMar>
        </w:tblPrEx>
        <w:trPr>
          <w:trHeight w:val="84"/>
        </w:trPr>
        <w:tc>
          <w:tcPr>
            <w:tcW w:w="4121" w:type="dxa"/>
          </w:tcPr>
          <w:p w14:paraId="436B72D2" w14:textId="77777777" w:rsidR="00230662" w:rsidRDefault="00230662">
            <w:pPr>
              <w:pStyle w:val="Default"/>
              <w:rPr>
                <w:sz w:val="18"/>
                <w:szCs w:val="18"/>
              </w:rPr>
            </w:pPr>
            <w:bookmarkStart w:id="0" w:name="_GoBack" w:colFirst="0" w:colLast="1"/>
            <w:r>
              <w:rPr>
                <w:b/>
                <w:bCs/>
                <w:sz w:val="18"/>
                <w:szCs w:val="18"/>
              </w:rPr>
              <w:t xml:space="preserve">Services </w:t>
            </w:r>
          </w:p>
        </w:tc>
        <w:tc>
          <w:tcPr>
            <w:tcW w:w="4121" w:type="dxa"/>
          </w:tcPr>
          <w:p w14:paraId="0C20B623" w14:textId="77777777" w:rsidR="00230662" w:rsidRDefault="00230662">
            <w:pPr>
              <w:pStyle w:val="Default"/>
              <w:rPr>
                <w:sz w:val="18"/>
                <w:szCs w:val="18"/>
              </w:rPr>
            </w:pPr>
            <w:r>
              <w:rPr>
                <w:b/>
                <w:bCs/>
                <w:sz w:val="18"/>
                <w:szCs w:val="18"/>
              </w:rPr>
              <w:t xml:space="preserve">Business &amp; real estate services </w:t>
            </w:r>
          </w:p>
        </w:tc>
      </w:tr>
      <w:bookmarkEnd w:id="0"/>
      <w:tr w:rsidR="00230662" w14:paraId="414B730A" w14:textId="77777777">
        <w:tblPrEx>
          <w:tblCellMar>
            <w:top w:w="0" w:type="dxa"/>
            <w:bottom w:w="0" w:type="dxa"/>
          </w:tblCellMar>
        </w:tblPrEx>
        <w:trPr>
          <w:trHeight w:val="218"/>
        </w:trPr>
        <w:tc>
          <w:tcPr>
            <w:tcW w:w="4121" w:type="dxa"/>
          </w:tcPr>
          <w:p w14:paraId="120A8889" w14:textId="77777777" w:rsidR="00230662" w:rsidRDefault="00230662">
            <w:pPr>
              <w:pStyle w:val="Default"/>
              <w:rPr>
                <w:sz w:val="18"/>
                <w:szCs w:val="18"/>
              </w:rPr>
            </w:pPr>
            <w:r>
              <w:rPr>
                <w:b/>
                <w:bCs/>
                <w:sz w:val="18"/>
                <w:szCs w:val="18"/>
              </w:rPr>
              <w:t xml:space="preserve">Entity </w:t>
            </w:r>
          </w:p>
        </w:tc>
        <w:tc>
          <w:tcPr>
            <w:tcW w:w="4121" w:type="dxa"/>
          </w:tcPr>
          <w:p w14:paraId="3924A006" w14:textId="77777777" w:rsidR="00230662" w:rsidRDefault="00230662">
            <w:pPr>
              <w:pStyle w:val="Default"/>
              <w:rPr>
                <w:sz w:val="18"/>
                <w:szCs w:val="18"/>
              </w:rPr>
            </w:pPr>
            <w:r>
              <w:rPr>
                <w:sz w:val="18"/>
                <w:szCs w:val="18"/>
              </w:rPr>
              <w:t xml:space="preserve">Mint Business Brokers Pty Ltd ACN 603 735 333 </w:t>
            </w:r>
          </w:p>
          <w:p w14:paraId="4D1BDF1E" w14:textId="77777777" w:rsidR="00230662" w:rsidRDefault="00230662">
            <w:pPr>
              <w:pStyle w:val="Default"/>
              <w:rPr>
                <w:sz w:val="18"/>
                <w:szCs w:val="18"/>
              </w:rPr>
            </w:pPr>
            <w:r>
              <w:rPr>
                <w:sz w:val="18"/>
                <w:szCs w:val="18"/>
              </w:rPr>
              <w:t xml:space="preserve">as trustee for JPH Asset Management Unit Trust ABN 89 354 462 429 </w:t>
            </w:r>
          </w:p>
        </w:tc>
      </w:tr>
      <w:tr w:rsidR="00230662" w14:paraId="76CE1D59" w14:textId="77777777">
        <w:tblPrEx>
          <w:tblCellMar>
            <w:top w:w="0" w:type="dxa"/>
            <w:bottom w:w="0" w:type="dxa"/>
          </w:tblCellMar>
        </w:tblPrEx>
        <w:trPr>
          <w:trHeight w:val="86"/>
        </w:trPr>
        <w:tc>
          <w:tcPr>
            <w:tcW w:w="4121" w:type="dxa"/>
          </w:tcPr>
          <w:p w14:paraId="06892B1E" w14:textId="77777777" w:rsidR="00230662" w:rsidRDefault="00230662">
            <w:pPr>
              <w:pStyle w:val="Default"/>
              <w:rPr>
                <w:sz w:val="18"/>
                <w:szCs w:val="18"/>
              </w:rPr>
            </w:pPr>
            <w:r>
              <w:rPr>
                <w:b/>
                <w:bCs/>
                <w:sz w:val="18"/>
                <w:szCs w:val="18"/>
              </w:rPr>
              <w:t xml:space="preserve">Licence details </w:t>
            </w:r>
          </w:p>
        </w:tc>
        <w:tc>
          <w:tcPr>
            <w:tcW w:w="4121" w:type="dxa"/>
          </w:tcPr>
          <w:p w14:paraId="5747C143" w14:textId="77777777" w:rsidR="00230662" w:rsidRDefault="00230662">
            <w:pPr>
              <w:pStyle w:val="Default"/>
              <w:rPr>
                <w:sz w:val="18"/>
                <w:szCs w:val="18"/>
              </w:rPr>
            </w:pPr>
            <w:r>
              <w:rPr>
                <w:sz w:val="18"/>
                <w:szCs w:val="18"/>
              </w:rPr>
              <w:t xml:space="preserve">Victoria State Licence Number: 077075L. Agent: Blake Hedley </w:t>
            </w:r>
          </w:p>
        </w:tc>
      </w:tr>
      <w:tr w:rsidR="00230662" w14:paraId="1224BD7C" w14:textId="77777777">
        <w:tblPrEx>
          <w:tblCellMar>
            <w:top w:w="0" w:type="dxa"/>
            <w:bottom w:w="0" w:type="dxa"/>
          </w:tblCellMar>
        </w:tblPrEx>
        <w:trPr>
          <w:trHeight w:val="86"/>
        </w:trPr>
        <w:tc>
          <w:tcPr>
            <w:tcW w:w="4121" w:type="dxa"/>
          </w:tcPr>
          <w:p w14:paraId="5C48E2C1" w14:textId="77777777" w:rsidR="00230662" w:rsidRDefault="00230662">
            <w:pPr>
              <w:pStyle w:val="Default"/>
              <w:rPr>
                <w:sz w:val="18"/>
                <w:szCs w:val="18"/>
              </w:rPr>
            </w:pPr>
            <w:r>
              <w:rPr>
                <w:b/>
                <w:bCs/>
                <w:sz w:val="18"/>
                <w:szCs w:val="18"/>
              </w:rPr>
              <w:t xml:space="preserve">Short name </w:t>
            </w:r>
          </w:p>
        </w:tc>
        <w:tc>
          <w:tcPr>
            <w:tcW w:w="4121" w:type="dxa"/>
          </w:tcPr>
          <w:p w14:paraId="732FF707" w14:textId="77777777" w:rsidR="00230662" w:rsidRDefault="00230662">
            <w:pPr>
              <w:pStyle w:val="Default"/>
              <w:rPr>
                <w:sz w:val="18"/>
                <w:szCs w:val="18"/>
              </w:rPr>
            </w:pPr>
            <w:r>
              <w:rPr>
                <w:sz w:val="18"/>
                <w:szCs w:val="18"/>
              </w:rPr>
              <w:t xml:space="preserve">Mint Business Brokers/Mint </w:t>
            </w:r>
          </w:p>
        </w:tc>
      </w:tr>
      <w:tr w:rsidR="00230662" w14:paraId="1C154256" w14:textId="77777777">
        <w:tblPrEx>
          <w:tblCellMar>
            <w:top w:w="0" w:type="dxa"/>
            <w:bottom w:w="0" w:type="dxa"/>
          </w:tblCellMar>
        </w:tblPrEx>
        <w:trPr>
          <w:trHeight w:val="84"/>
        </w:trPr>
        <w:tc>
          <w:tcPr>
            <w:tcW w:w="4121" w:type="dxa"/>
          </w:tcPr>
          <w:p w14:paraId="2685EDEE" w14:textId="77777777" w:rsidR="00230662" w:rsidRDefault="00230662">
            <w:pPr>
              <w:pStyle w:val="Default"/>
              <w:rPr>
                <w:sz w:val="18"/>
                <w:szCs w:val="18"/>
              </w:rPr>
            </w:pPr>
            <w:r>
              <w:rPr>
                <w:b/>
                <w:bCs/>
                <w:sz w:val="18"/>
                <w:szCs w:val="18"/>
              </w:rPr>
              <w:t xml:space="preserve">Services </w:t>
            </w:r>
          </w:p>
        </w:tc>
        <w:tc>
          <w:tcPr>
            <w:tcW w:w="4121" w:type="dxa"/>
          </w:tcPr>
          <w:p w14:paraId="7B05798E" w14:textId="77777777" w:rsidR="00230662" w:rsidRDefault="00230662">
            <w:pPr>
              <w:pStyle w:val="Default"/>
              <w:rPr>
                <w:sz w:val="18"/>
                <w:szCs w:val="18"/>
              </w:rPr>
            </w:pPr>
            <w:r>
              <w:rPr>
                <w:b/>
                <w:bCs/>
                <w:sz w:val="18"/>
                <w:szCs w:val="18"/>
              </w:rPr>
              <w:t xml:space="preserve">Mortgage Broking </w:t>
            </w:r>
          </w:p>
        </w:tc>
      </w:tr>
      <w:tr w:rsidR="00230662" w14:paraId="752AC71E" w14:textId="77777777">
        <w:tblPrEx>
          <w:tblCellMar>
            <w:top w:w="0" w:type="dxa"/>
            <w:bottom w:w="0" w:type="dxa"/>
          </w:tblCellMar>
        </w:tblPrEx>
        <w:trPr>
          <w:trHeight w:val="217"/>
        </w:trPr>
        <w:tc>
          <w:tcPr>
            <w:tcW w:w="4121" w:type="dxa"/>
          </w:tcPr>
          <w:p w14:paraId="769E998E" w14:textId="77777777" w:rsidR="00230662" w:rsidRDefault="00230662">
            <w:pPr>
              <w:pStyle w:val="Default"/>
              <w:rPr>
                <w:sz w:val="18"/>
                <w:szCs w:val="18"/>
              </w:rPr>
            </w:pPr>
            <w:r>
              <w:rPr>
                <w:b/>
                <w:bCs/>
                <w:sz w:val="18"/>
                <w:szCs w:val="18"/>
              </w:rPr>
              <w:t xml:space="preserve">Entity </w:t>
            </w:r>
          </w:p>
        </w:tc>
        <w:tc>
          <w:tcPr>
            <w:tcW w:w="4121" w:type="dxa"/>
          </w:tcPr>
          <w:p w14:paraId="3D75E541" w14:textId="77777777" w:rsidR="00230662" w:rsidRDefault="00230662">
            <w:pPr>
              <w:pStyle w:val="Default"/>
              <w:rPr>
                <w:sz w:val="18"/>
                <w:szCs w:val="18"/>
              </w:rPr>
            </w:pPr>
            <w:r>
              <w:rPr>
                <w:sz w:val="18"/>
                <w:szCs w:val="18"/>
              </w:rPr>
              <w:t xml:space="preserve">JPH Mortgage Origination Pty Ltd ACN 108 784 425 </w:t>
            </w:r>
          </w:p>
          <w:p w14:paraId="6EE8D470" w14:textId="77777777" w:rsidR="00230662" w:rsidRDefault="00230662">
            <w:pPr>
              <w:pStyle w:val="Default"/>
              <w:rPr>
                <w:sz w:val="18"/>
                <w:szCs w:val="18"/>
              </w:rPr>
            </w:pPr>
            <w:r>
              <w:rPr>
                <w:sz w:val="18"/>
                <w:szCs w:val="18"/>
              </w:rPr>
              <w:t xml:space="preserve">as trustee for the JP Unit Trust ABN 60 669 597 408 </w:t>
            </w:r>
          </w:p>
        </w:tc>
      </w:tr>
      <w:tr w:rsidR="00230662" w14:paraId="7E9CF017" w14:textId="77777777">
        <w:tblPrEx>
          <w:tblCellMar>
            <w:top w:w="0" w:type="dxa"/>
            <w:bottom w:w="0" w:type="dxa"/>
          </w:tblCellMar>
        </w:tblPrEx>
        <w:trPr>
          <w:trHeight w:val="86"/>
        </w:trPr>
        <w:tc>
          <w:tcPr>
            <w:tcW w:w="4121" w:type="dxa"/>
          </w:tcPr>
          <w:p w14:paraId="0525C29D" w14:textId="77777777" w:rsidR="00230662" w:rsidRDefault="00230662">
            <w:pPr>
              <w:pStyle w:val="Default"/>
              <w:rPr>
                <w:sz w:val="18"/>
                <w:szCs w:val="18"/>
              </w:rPr>
            </w:pPr>
            <w:r>
              <w:rPr>
                <w:b/>
                <w:bCs/>
                <w:sz w:val="18"/>
                <w:szCs w:val="18"/>
              </w:rPr>
              <w:t xml:space="preserve">Services </w:t>
            </w:r>
          </w:p>
        </w:tc>
        <w:tc>
          <w:tcPr>
            <w:tcW w:w="4121" w:type="dxa"/>
          </w:tcPr>
          <w:p w14:paraId="14A7A621" w14:textId="77777777" w:rsidR="00230662" w:rsidRDefault="00230662">
            <w:pPr>
              <w:pStyle w:val="Default"/>
              <w:rPr>
                <w:sz w:val="18"/>
                <w:szCs w:val="18"/>
              </w:rPr>
            </w:pPr>
            <w:r>
              <w:rPr>
                <w:sz w:val="18"/>
                <w:szCs w:val="18"/>
              </w:rPr>
              <w:t xml:space="preserve">Mortgage Broking </w:t>
            </w:r>
          </w:p>
        </w:tc>
      </w:tr>
      <w:tr w:rsidR="00230662" w14:paraId="1820BBAC" w14:textId="77777777">
        <w:tblPrEx>
          <w:tblCellMar>
            <w:top w:w="0" w:type="dxa"/>
            <w:bottom w:w="0" w:type="dxa"/>
          </w:tblCellMar>
        </w:tblPrEx>
        <w:trPr>
          <w:trHeight w:val="86"/>
        </w:trPr>
        <w:tc>
          <w:tcPr>
            <w:tcW w:w="4121" w:type="dxa"/>
          </w:tcPr>
          <w:p w14:paraId="65B393B8" w14:textId="77777777" w:rsidR="00230662" w:rsidRDefault="00230662">
            <w:pPr>
              <w:pStyle w:val="Default"/>
              <w:rPr>
                <w:sz w:val="18"/>
                <w:szCs w:val="18"/>
              </w:rPr>
            </w:pPr>
            <w:r>
              <w:rPr>
                <w:b/>
                <w:bCs/>
                <w:sz w:val="18"/>
                <w:szCs w:val="18"/>
              </w:rPr>
              <w:t xml:space="preserve">Licence details </w:t>
            </w:r>
          </w:p>
        </w:tc>
        <w:tc>
          <w:tcPr>
            <w:tcW w:w="4121" w:type="dxa"/>
          </w:tcPr>
          <w:p w14:paraId="3536F34E" w14:textId="77777777" w:rsidR="00230662" w:rsidRDefault="00230662">
            <w:pPr>
              <w:pStyle w:val="Default"/>
              <w:rPr>
                <w:sz w:val="18"/>
                <w:szCs w:val="18"/>
              </w:rPr>
            </w:pPr>
            <w:r>
              <w:rPr>
                <w:sz w:val="18"/>
                <w:szCs w:val="18"/>
              </w:rPr>
              <w:t xml:space="preserve">Credit licensee – licence number 392272 </w:t>
            </w:r>
          </w:p>
        </w:tc>
      </w:tr>
      <w:tr w:rsidR="00230662" w14:paraId="43C58F49" w14:textId="77777777">
        <w:tblPrEx>
          <w:tblCellMar>
            <w:top w:w="0" w:type="dxa"/>
            <w:bottom w:w="0" w:type="dxa"/>
          </w:tblCellMar>
        </w:tblPrEx>
        <w:trPr>
          <w:trHeight w:val="86"/>
        </w:trPr>
        <w:tc>
          <w:tcPr>
            <w:tcW w:w="4121" w:type="dxa"/>
          </w:tcPr>
          <w:p w14:paraId="3ACC8223" w14:textId="77777777" w:rsidR="00230662" w:rsidRDefault="00230662">
            <w:pPr>
              <w:pStyle w:val="Default"/>
              <w:rPr>
                <w:sz w:val="18"/>
                <w:szCs w:val="18"/>
              </w:rPr>
            </w:pPr>
            <w:r>
              <w:rPr>
                <w:b/>
                <w:bCs/>
                <w:sz w:val="18"/>
                <w:szCs w:val="18"/>
              </w:rPr>
              <w:t xml:space="preserve">Short name </w:t>
            </w:r>
          </w:p>
        </w:tc>
        <w:tc>
          <w:tcPr>
            <w:tcW w:w="4121" w:type="dxa"/>
          </w:tcPr>
          <w:p w14:paraId="52A94B96" w14:textId="77777777" w:rsidR="00230662" w:rsidRDefault="00230662">
            <w:pPr>
              <w:pStyle w:val="Default"/>
              <w:rPr>
                <w:sz w:val="18"/>
                <w:szCs w:val="18"/>
              </w:rPr>
            </w:pPr>
            <w:r>
              <w:rPr>
                <w:sz w:val="18"/>
                <w:szCs w:val="18"/>
              </w:rPr>
              <w:t xml:space="preserve">JPH Mortgage </w:t>
            </w:r>
          </w:p>
        </w:tc>
      </w:tr>
      <w:tr w:rsidR="00230662" w14:paraId="3D199950" w14:textId="77777777">
        <w:tblPrEx>
          <w:tblCellMar>
            <w:top w:w="0" w:type="dxa"/>
            <w:bottom w:w="0" w:type="dxa"/>
          </w:tblCellMar>
        </w:tblPrEx>
        <w:trPr>
          <w:trHeight w:val="84"/>
        </w:trPr>
        <w:tc>
          <w:tcPr>
            <w:tcW w:w="4121" w:type="dxa"/>
          </w:tcPr>
          <w:p w14:paraId="0D16BC8A" w14:textId="77777777" w:rsidR="00230662" w:rsidRDefault="00230662">
            <w:pPr>
              <w:pStyle w:val="Default"/>
              <w:rPr>
                <w:sz w:val="18"/>
                <w:szCs w:val="18"/>
              </w:rPr>
            </w:pPr>
            <w:r>
              <w:rPr>
                <w:b/>
                <w:bCs/>
                <w:sz w:val="18"/>
                <w:szCs w:val="18"/>
              </w:rPr>
              <w:t xml:space="preserve">Services </w:t>
            </w:r>
          </w:p>
        </w:tc>
        <w:tc>
          <w:tcPr>
            <w:tcW w:w="4121" w:type="dxa"/>
          </w:tcPr>
          <w:p w14:paraId="3C4BA584" w14:textId="77777777" w:rsidR="00230662" w:rsidRDefault="00230662">
            <w:pPr>
              <w:pStyle w:val="Default"/>
              <w:rPr>
                <w:sz w:val="18"/>
                <w:szCs w:val="18"/>
              </w:rPr>
            </w:pPr>
            <w:r>
              <w:rPr>
                <w:b/>
                <w:bCs/>
                <w:sz w:val="18"/>
                <w:szCs w:val="18"/>
              </w:rPr>
              <w:t xml:space="preserve">Financial planning and advice </w:t>
            </w:r>
          </w:p>
        </w:tc>
      </w:tr>
      <w:tr w:rsidR="00230662" w14:paraId="53CE0488" w14:textId="77777777">
        <w:tblPrEx>
          <w:tblCellMar>
            <w:top w:w="0" w:type="dxa"/>
            <w:bottom w:w="0" w:type="dxa"/>
          </w:tblCellMar>
        </w:tblPrEx>
        <w:trPr>
          <w:trHeight w:val="218"/>
        </w:trPr>
        <w:tc>
          <w:tcPr>
            <w:tcW w:w="4121" w:type="dxa"/>
          </w:tcPr>
          <w:p w14:paraId="1A1B5C2B" w14:textId="77777777" w:rsidR="00230662" w:rsidRDefault="00230662">
            <w:pPr>
              <w:pStyle w:val="Default"/>
              <w:rPr>
                <w:sz w:val="18"/>
                <w:szCs w:val="18"/>
              </w:rPr>
            </w:pPr>
            <w:r>
              <w:rPr>
                <w:b/>
                <w:bCs/>
                <w:sz w:val="18"/>
                <w:szCs w:val="18"/>
              </w:rPr>
              <w:t xml:space="preserve">Entity </w:t>
            </w:r>
          </w:p>
        </w:tc>
        <w:tc>
          <w:tcPr>
            <w:tcW w:w="4121" w:type="dxa"/>
          </w:tcPr>
          <w:p w14:paraId="26ABA9C0" w14:textId="77777777" w:rsidR="00230662" w:rsidRDefault="00230662">
            <w:pPr>
              <w:pStyle w:val="Default"/>
              <w:rPr>
                <w:sz w:val="18"/>
                <w:szCs w:val="18"/>
              </w:rPr>
            </w:pPr>
            <w:r>
              <w:rPr>
                <w:sz w:val="18"/>
                <w:szCs w:val="18"/>
              </w:rPr>
              <w:t xml:space="preserve">JPH Capital Pty Ltd ACN 604 474 464 ATF JPH </w:t>
            </w:r>
          </w:p>
          <w:p w14:paraId="229BF335" w14:textId="77777777" w:rsidR="00230662" w:rsidRDefault="00230662">
            <w:pPr>
              <w:pStyle w:val="Default"/>
              <w:rPr>
                <w:sz w:val="18"/>
                <w:szCs w:val="18"/>
              </w:rPr>
            </w:pPr>
            <w:r>
              <w:rPr>
                <w:sz w:val="18"/>
                <w:szCs w:val="18"/>
              </w:rPr>
              <w:t xml:space="preserve">Capital Unit Trust ABN 69 363 575 833 </w:t>
            </w:r>
          </w:p>
        </w:tc>
      </w:tr>
      <w:tr w:rsidR="00230662" w14:paraId="54207681" w14:textId="77777777">
        <w:tblPrEx>
          <w:tblCellMar>
            <w:top w:w="0" w:type="dxa"/>
            <w:bottom w:w="0" w:type="dxa"/>
          </w:tblCellMar>
        </w:tblPrEx>
        <w:trPr>
          <w:trHeight w:val="217"/>
        </w:trPr>
        <w:tc>
          <w:tcPr>
            <w:tcW w:w="4121" w:type="dxa"/>
          </w:tcPr>
          <w:p w14:paraId="2190ABCD" w14:textId="77777777" w:rsidR="00230662" w:rsidRDefault="00230662">
            <w:pPr>
              <w:pStyle w:val="Default"/>
              <w:rPr>
                <w:sz w:val="18"/>
                <w:szCs w:val="18"/>
              </w:rPr>
            </w:pPr>
            <w:r>
              <w:rPr>
                <w:b/>
                <w:bCs/>
                <w:sz w:val="18"/>
                <w:szCs w:val="18"/>
              </w:rPr>
              <w:t xml:space="preserve">Licence details </w:t>
            </w:r>
          </w:p>
        </w:tc>
        <w:tc>
          <w:tcPr>
            <w:tcW w:w="4121" w:type="dxa"/>
          </w:tcPr>
          <w:p w14:paraId="461B9B82" w14:textId="77777777" w:rsidR="00230662" w:rsidRDefault="00230662">
            <w:pPr>
              <w:pStyle w:val="Default"/>
              <w:rPr>
                <w:sz w:val="18"/>
                <w:szCs w:val="18"/>
              </w:rPr>
            </w:pPr>
            <w:r>
              <w:rPr>
                <w:sz w:val="18"/>
                <w:szCs w:val="18"/>
              </w:rPr>
              <w:t xml:space="preserve">AFS Representative Number: 001008171 </w:t>
            </w:r>
          </w:p>
          <w:p w14:paraId="2C29A15F" w14:textId="77777777" w:rsidR="00230662" w:rsidRDefault="00230662">
            <w:pPr>
              <w:pStyle w:val="Default"/>
              <w:rPr>
                <w:sz w:val="18"/>
                <w:szCs w:val="18"/>
              </w:rPr>
            </w:pPr>
            <w:r>
              <w:rPr>
                <w:sz w:val="18"/>
                <w:szCs w:val="18"/>
              </w:rPr>
              <w:t xml:space="preserve">Authorised representative of </w:t>
            </w:r>
            <w:proofErr w:type="spellStart"/>
            <w:r>
              <w:rPr>
                <w:sz w:val="18"/>
                <w:szCs w:val="18"/>
              </w:rPr>
              <w:t>Interprac</w:t>
            </w:r>
            <w:proofErr w:type="spellEnd"/>
            <w:r>
              <w:rPr>
                <w:sz w:val="18"/>
                <w:szCs w:val="18"/>
              </w:rPr>
              <w:t xml:space="preserve"> Financial Planning Pty Ltd AFSL 246638 </w:t>
            </w:r>
          </w:p>
        </w:tc>
      </w:tr>
      <w:tr w:rsidR="00230662" w14:paraId="2357CE4C" w14:textId="77777777">
        <w:tblPrEx>
          <w:tblCellMar>
            <w:top w:w="0" w:type="dxa"/>
            <w:bottom w:w="0" w:type="dxa"/>
          </w:tblCellMar>
        </w:tblPrEx>
        <w:trPr>
          <w:trHeight w:val="86"/>
        </w:trPr>
        <w:tc>
          <w:tcPr>
            <w:tcW w:w="4121" w:type="dxa"/>
          </w:tcPr>
          <w:p w14:paraId="7C6F0727" w14:textId="77777777" w:rsidR="00230662" w:rsidRDefault="00230662">
            <w:pPr>
              <w:pStyle w:val="Default"/>
              <w:rPr>
                <w:sz w:val="18"/>
                <w:szCs w:val="18"/>
              </w:rPr>
            </w:pPr>
            <w:r>
              <w:rPr>
                <w:b/>
                <w:bCs/>
                <w:sz w:val="18"/>
                <w:szCs w:val="18"/>
              </w:rPr>
              <w:t xml:space="preserve">Short name </w:t>
            </w:r>
          </w:p>
        </w:tc>
        <w:tc>
          <w:tcPr>
            <w:tcW w:w="4121" w:type="dxa"/>
          </w:tcPr>
          <w:p w14:paraId="4A7270A2" w14:textId="77777777" w:rsidR="00230662" w:rsidRDefault="00230662">
            <w:pPr>
              <w:pStyle w:val="Default"/>
              <w:rPr>
                <w:sz w:val="18"/>
                <w:szCs w:val="18"/>
              </w:rPr>
            </w:pPr>
            <w:r>
              <w:rPr>
                <w:sz w:val="18"/>
                <w:szCs w:val="18"/>
              </w:rPr>
              <w:t xml:space="preserve">JPH Capital </w:t>
            </w:r>
          </w:p>
        </w:tc>
      </w:tr>
      <w:tr w:rsidR="00230662" w14:paraId="064790A6" w14:textId="77777777">
        <w:tblPrEx>
          <w:tblCellMar>
            <w:top w:w="0" w:type="dxa"/>
            <w:bottom w:w="0" w:type="dxa"/>
          </w:tblCellMar>
        </w:tblPrEx>
        <w:trPr>
          <w:trHeight w:val="84"/>
        </w:trPr>
        <w:tc>
          <w:tcPr>
            <w:tcW w:w="4121" w:type="dxa"/>
          </w:tcPr>
          <w:p w14:paraId="7A91EC1C" w14:textId="77777777" w:rsidR="00230662" w:rsidRDefault="00230662">
            <w:pPr>
              <w:pStyle w:val="Default"/>
              <w:rPr>
                <w:sz w:val="18"/>
                <w:szCs w:val="18"/>
              </w:rPr>
            </w:pPr>
            <w:r>
              <w:rPr>
                <w:b/>
                <w:bCs/>
                <w:sz w:val="18"/>
                <w:szCs w:val="18"/>
              </w:rPr>
              <w:t xml:space="preserve">Services </w:t>
            </w:r>
          </w:p>
        </w:tc>
        <w:tc>
          <w:tcPr>
            <w:tcW w:w="4121" w:type="dxa"/>
          </w:tcPr>
          <w:p w14:paraId="4B1BD858" w14:textId="77777777" w:rsidR="00230662" w:rsidRDefault="00230662">
            <w:pPr>
              <w:pStyle w:val="Default"/>
              <w:rPr>
                <w:sz w:val="18"/>
                <w:szCs w:val="18"/>
              </w:rPr>
            </w:pPr>
            <w:r>
              <w:rPr>
                <w:b/>
                <w:bCs/>
                <w:sz w:val="18"/>
                <w:szCs w:val="18"/>
              </w:rPr>
              <w:t xml:space="preserve">Legal services including conveyancing and estate planning </w:t>
            </w:r>
          </w:p>
        </w:tc>
      </w:tr>
      <w:tr w:rsidR="00230662" w14:paraId="2FB63BC2" w14:textId="77777777">
        <w:tblPrEx>
          <w:tblCellMar>
            <w:top w:w="0" w:type="dxa"/>
            <w:bottom w:w="0" w:type="dxa"/>
          </w:tblCellMar>
        </w:tblPrEx>
        <w:trPr>
          <w:trHeight w:val="217"/>
        </w:trPr>
        <w:tc>
          <w:tcPr>
            <w:tcW w:w="4121" w:type="dxa"/>
          </w:tcPr>
          <w:p w14:paraId="0284DA45" w14:textId="77777777" w:rsidR="00230662" w:rsidRDefault="00230662">
            <w:pPr>
              <w:pStyle w:val="Default"/>
              <w:rPr>
                <w:sz w:val="18"/>
                <w:szCs w:val="18"/>
              </w:rPr>
            </w:pPr>
            <w:r>
              <w:rPr>
                <w:b/>
                <w:bCs/>
                <w:sz w:val="18"/>
                <w:szCs w:val="18"/>
              </w:rPr>
              <w:t xml:space="preserve">Entity </w:t>
            </w:r>
          </w:p>
        </w:tc>
        <w:tc>
          <w:tcPr>
            <w:tcW w:w="4121" w:type="dxa"/>
          </w:tcPr>
          <w:p w14:paraId="3DB631C1" w14:textId="0DD23CC7" w:rsidR="00230662" w:rsidRDefault="00230662">
            <w:pPr>
              <w:pStyle w:val="Default"/>
              <w:rPr>
                <w:sz w:val="18"/>
                <w:szCs w:val="18"/>
              </w:rPr>
            </w:pPr>
            <w:r>
              <w:rPr>
                <w:sz w:val="18"/>
                <w:szCs w:val="18"/>
              </w:rPr>
              <w:t>JPH</w:t>
            </w:r>
            <w:r>
              <w:rPr>
                <w:sz w:val="18"/>
                <w:szCs w:val="18"/>
              </w:rPr>
              <w:t xml:space="preserve"> Lawyers Pty Ltd ACN </w:t>
            </w:r>
            <w:r>
              <w:rPr>
                <w:sz w:val="18"/>
                <w:szCs w:val="18"/>
              </w:rPr>
              <w:t>618 417 299</w:t>
            </w:r>
            <w:r>
              <w:rPr>
                <w:sz w:val="18"/>
                <w:szCs w:val="18"/>
              </w:rPr>
              <w:t xml:space="preserve"> </w:t>
            </w:r>
          </w:p>
          <w:p w14:paraId="119F84CC" w14:textId="55038B5B" w:rsidR="00230662" w:rsidRDefault="00230662">
            <w:pPr>
              <w:pStyle w:val="Default"/>
              <w:rPr>
                <w:sz w:val="18"/>
                <w:szCs w:val="18"/>
              </w:rPr>
            </w:pPr>
            <w:r>
              <w:rPr>
                <w:sz w:val="18"/>
                <w:szCs w:val="18"/>
              </w:rPr>
              <w:t xml:space="preserve">ATF </w:t>
            </w:r>
            <w:r>
              <w:rPr>
                <w:sz w:val="18"/>
                <w:szCs w:val="18"/>
              </w:rPr>
              <w:t>JPH</w:t>
            </w:r>
            <w:r>
              <w:rPr>
                <w:sz w:val="18"/>
                <w:szCs w:val="18"/>
              </w:rPr>
              <w:t xml:space="preserve"> Lawyers Unit Trust ABN </w:t>
            </w:r>
            <w:r>
              <w:rPr>
                <w:sz w:val="18"/>
                <w:szCs w:val="18"/>
              </w:rPr>
              <w:t>22 413 156596</w:t>
            </w:r>
            <w:r>
              <w:rPr>
                <w:sz w:val="18"/>
                <w:szCs w:val="18"/>
              </w:rPr>
              <w:t xml:space="preserve"> </w:t>
            </w:r>
          </w:p>
        </w:tc>
      </w:tr>
      <w:tr w:rsidR="00230662" w14:paraId="0000A190" w14:textId="77777777">
        <w:tblPrEx>
          <w:tblCellMar>
            <w:top w:w="0" w:type="dxa"/>
            <w:bottom w:w="0" w:type="dxa"/>
          </w:tblCellMar>
        </w:tblPrEx>
        <w:trPr>
          <w:trHeight w:val="86"/>
        </w:trPr>
        <w:tc>
          <w:tcPr>
            <w:tcW w:w="4121" w:type="dxa"/>
          </w:tcPr>
          <w:p w14:paraId="7D1F5D69" w14:textId="77777777" w:rsidR="00230662" w:rsidRDefault="00230662">
            <w:pPr>
              <w:pStyle w:val="Default"/>
              <w:rPr>
                <w:sz w:val="18"/>
                <w:szCs w:val="18"/>
              </w:rPr>
            </w:pPr>
            <w:r>
              <w:rPr>
                <w:b/>
                <w:bCs/>
                <w:sz w:val="18"/>
                <w:szCs w:val="18"/>
              </w:rPr>
              <w:t xml:space="preserve">Short name </w:t>
            </w:r>
          </w:p>
        </w:tc>
        <w:tc>
          <w:tcPr>
            <w:tcW w:w="4121" w:type="dxa"/>
          </w:tcPr>
          <w:p w14:paraId="374F807A" w14:textId="30D8B197" w:rsidR="00230662" w:rsidRDefault="00230662">
            <w:pPr>
              <w:pStyle w:val="Default"/>
              <w:rPr>
                <w:sz w:val="18"/>
                <w:szCs w:val="18"/>
              </w:rPr>
            </w:pPr>
            <w:r>
              <w:rPr>
                <w:sz w:val="18"/>
                <w:szCs w:val="18"/>
              </w:rPr>
              <w:t>JPH Lawyers</w:t>
            </w:r>
            <w:r>
              <w:rPr>
                <w:sz w:val="18"/>
                <w:szCs w:val="18"/>
              </w:rPr>
              <w:t xml:space="preserve"> </w:t>
            </w:r>
          </w:p>
        </w:tc>
      </w:tr>
    </w:tbl>
    <w:p w14:paraId="5BDE94EF" w14:textId="1C774A18" w:rsidR="00B14D08" w:rsidRDefault="00B14D08" w:rsidP="00230662">
      <w:pPr>
        <w:pStyle w:val="font9"/>
        <w:spacing w:line="408" w:lineRule="atLeast"/>
      </w:pPr>
    </w:p>
    <w:sectPr w:rsidR="00B14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08"/>
    <w:rsid w:val="00230662"/>
    <w:rsid w:val="00962B16"/>
    <w:rsid w:val="00B14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2571"/>
  <w15:chartTrackingRefBased/>
  <w15:docId w15:val="{C0340829-36FD-4C9E-83C4-B0EBF8F2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14D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r15">
    <w:name w:val="color_15"/>
    <w:basedOn w:val="DefaultParagraphFont"/>
    <w:rsid w:val="00B14D08"/>
  </w:style>
  <w:style w:type="character" w:customStyle="1" w:styleId="wixguard">
    <w:name w:val="wixguard"/>
    <w:basedOn w:val="DefaultParagraphFont"/>
    <w:rsid w:val="00B14D08"/>
  </w:style>
  <w:style w:type="paragraph" w:customStyle="1" w:styleId="font9">
    <w:name w:val="font_9"/>
    <w:basedOn w:val="Normal"/>
    <w:rsid w:val="00B14D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r14">
    <w:name w:val="color_14"/>
    <w:basedOn w:val="DefaultParagraphFont"/>
    <w:rsid w:val="00B14D08"/>
  </w:style>
  <w:style w:type="paragraph" w:customStyle="1" w:styleId="Default">
    <w:name w:val="Default"/>
    <w:rsid w:val="002306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57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Hedley</dc:creator>
  <cp:keywords/>
  <dc:description/>
  <cp:lastModifiedBy>Blake Hedley</cp:lastModifiedBy>
  <cp:revision>1</cp:revision>
  <dcterms:created xsi:type="dcterms:W3CDTF">2019-06-18T00:24:00Z</dcterms:created>
  <dcterms:modified xsi:type="dcterms:W3CDTF">2019-06-28T01:48:00Z</dcterms:modified>
</cp:coreProperties>
</file>